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C5" w:rsidRPr="00CB592B" w:rsidRDefault="002737B4" w:rsidP="002737B4">
      <w:pPr>
        <w:jc w:val="center"/>
        <w:rPr>
          <w:b/>
          <w:sz w:val="24"/>
          <w:szCs w:val="24"/>
        </w:rPr>
      </w:pPr>
      <w:r w:rsidRPr="00CB592B">
        <w:rPr>
          <w:b/>
          <w:sz w:val="24"/>
          <w:szCs w:val="24"/>
        </w:rPr>
        <w:t>Общие вопросы</w:t>
      </w:r>
    </w:p>
    <w:p w:rsidR="00D36CAE" w:rsidRDefault="00D36CAE" w:rsidP="00D36CAE"/>
    <w:p w:rsidR="00F27C83" w:rsidRDefault="00D36CAE" w:rsidP="00E67D57">
      <w:pPr>
        <w:pStyle w:val="a3"/>
        <w:numPr>
          <w:ilvl w:val="0"/>
          <w:numId w:val="1"/>
        </w:numPr>
      </w:pPr>
      <w:r>
        <w:t xml:space="preserve">Практика применения </w:t>
      </w:r>
      <w:r w:rsidR="00F27C83">
        <w:t>статьи 54.1 НК РФ</w:t>
      </w:r>
      <w:r>
        <w:t xml:space="preserve">: право налоговых органов по установлению действительного смысла сделки, обязательная непротиворечивость выводов налоговых органов, исследование фактического исполнения сделки, использование </w:t>
      </w:r>
      <w:r w:rsidR="007E28E5">
        <w:t>данных о недобросовестных организациях</w:t>
      </w:r>
      <w:r w:rsidR="00F27C83">
        <w:t>;</w:t>
      </w:r>
    </w:p>
    <w:p w:rsidR="00D36CAE" w:rsidRDefault="00D36CAE" w:rsidP="00D36CAE">
      <w:pPr>
        <w:pStyle w:val="a3"/>
        <w:numPr>
          <w:ilvl w:val="0"/>
          <w:numId w:val="1"/>
        </w:numPr>
      </w:pPr>
      <w:r>
        <w:t>Изменения НК РФ в части налогового администрирования: комментарии фискальных органов;</w:t>
      </w:r>
    </w:p>
    <w:p w:rsidR="007E28E5" w:rsidRDefault="007E28E5" w:rsidP="007E28E5">
      <w:pPr>
        <w:pStyle w:val="a3"/>
        <w:numPr>
          <w:ilvl w:val="0"/>
          <w:numId w:val="1"/>
        </w:numPr>
      </w:pPr>
      <w:r>
        <w:t>Сокращение адресов представления бухгалтерской отчётности; увеличение штрафов за нарушение сроков её представления;</w:t>
      </w:r>
    </w:p>
    <w:p w:rsidR="007E28E5" w:rsidRDefault="007E28E5" w:rsidP="007E28E5">
      <w:pPr>
        <w:pStyle w:val="a3"/>
        <w:numPr>
          <w:ilvl w:val="0"/>
          <w:numId w:val="1"/>
        </w:numPr>
      </w:pPr>
      <w:r>
        <w:t>Новые требования к работодателям в области миграционного законодательства;</w:t>
      </w:r>
    </w:p>
    <w:p w:rsidR="00260031" w:rsidRPr="00CB592B" w:rsidRDefault="007E28E5" w:rsidP="007E28E5">
      <w:pPr>
        <w:pStyle w:val="a3"/>
        <w:numPr>
          <w:ilvl w:val="0"/>
          <w:numId w:val="1"/>
        </w:numPr>
      </w:pPr>
      <w:r>
        <w:t>Отдельные вопросы применения мер административной ответственности: валютные операции, специальная оценка условий труда, применение ККТ</w:t>
      </w:r>
      <w:r w:rsidR="00E25343">
        <w:t>.</w:t>
      </w:r>
    </w:p>
    <w:p w:rsidR="002737B4" w:rsidRDefault="002737B4"/>
    <w:p w:rsidR="007E28E5" w:rsidRPr="00CB592B" w:rsidRDefault="007E28E5"/>
    <w:p w:rsidR="002737B4" w:rsidRPr="00CB592B" w:rsidRDefault="002737B4" w:rsidP="002737B4">
      <w:pPr>
        <w:jc w:val="center"/>
        <w:rPr>
          <w:b/>
          <w:sz w:val="24"/>
          <w:szCs w:val="24"/>
        </w:rPr>
      </w:pPr>
      <w:r w:rsidRPr="00CB592B">
        <w:rPr>
          <w:b/>
          <w:sz w:val="24"/>
          <w:szCs w:val="24"/>
        </w:rPr>
        <w:t>НДС</w:t>
      </w:r>
    </w:p>
    <w:p w:rsidR="002737B4" w:rsidRPr="00CB592B" w:rsidRDefault="002737B4"/>
    <w:p w:rsidR="00DF6DCC" w:rsidRDefault="00F27C83" w:rsidP="00445B50">
      <w:pPr>
        <w:pStyle w:val="a3"/>
        <w:numPr>
          <w:ilvl w:val="0"/>
          <w:numId w:val="1"/>
        </w:numPr>
      </w:pPr>
      <w:r>
        <w:t xml:space="preserve">Увеличение ставки НДС с 18% до 20% и связанные с этим </w:t>
      </w:r>
      <w:r w:rsidR="00DF6DCC">
        <w:t xml:space="preserve">«новогодние» </w:t>
      </w:r>
      <w:r>
        <w:t>проблемы:</w:t>
      </w:r>
      <w:r w:rsidR="00DF6DCC">
        <w:t xml:space="preserve"> договорная практика</w:t>
      </w:r>
      <w:r w:rsidR="007E28E5">
        <w:t xml:space="preserve"> (переходящие договоры, различные способы формирования стоимости и последствия таковых)</w:t>
      </w:r>
      <w:r w:rsidR="00DF6DCC">
        <w:t>, исчисление и зачёт НДС с авансов</w:t>
      </w:r>
      <w:r w:rsidR="007E28E5">
        <w:t xml:space="preserve"> 2018 года</w:t>
      </w:r>
      <w:r w:rsidR="00DF6DCC">
        <w:t xml:space="preserve">, </w:t>
      </w:r>
      <w:r w:rsidR="007E28E5">
        <w:t xml:space="preserve">НДС </w:t>
      </w:r>
      <w:r w:rsidR="00DF6DCC">
        <w:t>при возврате товаров</w:t>
      </w:r>
      <w:r w:rsidR="007E28E5">
        <w:t xml:space="preserve">, а также при </w:t>
      </w:r>
      <w:r w:rsidR="00DF6DCC">
        <w:t>применени</w:t>
      </w:r>
      <w:r w:rsidR="007E28E5">
        <w:t>и</w:t>
      </w:r>
      <w:r w:rsidR="00DF6DCC">
        <w:t xml:space="preserve"> бонусов и премий;</w:t>
      </w:r>
    </w:p>
    <w:p w:rsidR="007025CE" w:rsidRDefault="00DF6DCC" w:rsidP="007025CE">
      <w:pPr>
        <w:pStyle w:val="a3"/>
        <w:numPr>
          <w:ilvl w:val="0"/>
          <w:numId w:val="1"/>
        </w:numPr>
      </w:pPr>
      <w:r>
        <w:t>Представление документов в обоснование ставки 0%</w:t>
      </w:r>
      <w:r w:rsidR="007025CE">
        <w:t>, а также в обоснование налоговых вычетов;</w:t>
      </w:r>
    </w:p>
    <w:p w:rsidR="005A5B6C" w:rsidRPr="00CB592B" w:rsidRDefault="007E28E5" w:rsidP="007E28E5">
      <w:pPr>
        <w:pStyle w:val="a3"/>
        <w:numPr>
          <w:ilvl w:val="0"/>
          <w:numId w:val="1"/>
        </w:numPr>
      </w:pPr>
      <w:r>
        <w:t>Отдельные вопросы применения налоговых вычетов: «дробление» счёта-фактуры, перенос вычета, использование чеков ККТ, применение вычета по лизингу, применение вычетов при исполнении обязательств третьим лицом</w:t>
      </w:r>
      <w:r w:rsidR="00DF6DCC">
        <w:t>.</w:t>
      </w:r>
    </w:p>
    <w:p w:rsidR="002737B4" w:rsidRPr="00CB592B" w:rsidRDefault="002737B4"/>
    <w:p w:rsidR="002737B4" w:rsidRPr="00CB592B" w:rsidRDefault="002737B4"/>
    <w:p w:rsidR="002737B4" w:rsidRPr="00CB592B" w:rsidRDefault="002737B4" w:rsidP="002737B4">
      <w:pPr>
        <w:jc w:val="center"/>
        <w:rPr>
          <w:b/>
          <w:sz w:val="24"/>
          <w:szCs w:val="24"/>
        </w:rPr>
      </w:pPr>
      <w:r w:rsidRPr="00CB592B">
        <w:rPr>
          <w:b/>
          <w:sz w:val="24"/>
          <w:szCs w:val="24"/>
        </w:rPr>
        <w:t>Налог на прибыль</w:t>
      </w:r>
    </w:p>
    <w:p w:rsidR="002737B4" w:rsidRPr="00CB592B" w:rsidRDefault="002737B4"/>
    <w:p w:rsidR="007025CE" w:rsidRDefault="007025CE" w:rsidP="005A5B6C">
      <w:pPr>
        <w:pStyle w:val="a3"/>
        <w:numPr>
          <w:ilvl w:val="0"/>
          <w:numId w:val="1"/>
        </w:numPr>
      </w:pPr>
      <w:r>
        <w:t>Квалификация отдельных видов доходов (</w:t>
      </w:r>
      <w:r w:rsidR="00E84941">
        <w:t>страховое возмещение, возмещаемы</w:t>
      </w:r>
      <w:r w:rsidR="007E28E5">
        <w:t>е</w:t>
      </w:r>
      <w:r w:rsidR="00E84941">
        <w:t xml:space="preserve"> расходы</w:t>
      </w:r>
      <w:r w:rsidR="007E28E5">
        <w:t>, возмещение убытков</w:t>
      </w:r>
      <w:r>
        <w:t>);</w:t>
      </w:r>
    </w:p>
    <w:p w:rsidR="007E28E5" w:rsidRDefault="007E28E5" w:rsidP="005A5B6C">
      <w:pPr>
        <w:pStyle w:val="a3"/>
        <w:numPr>
          <w:ilvl w:val="0"/>
          <w:numId w:val="1"/>
        </w:numPr>
      </w:pPr>
      <w:r>
        <w:t>Признание доходов, выплаченных иностранному лицу, пассивным доходом с целью удержания налога налоговым агентом;</w:t>
      </w:r>
    </w:p>
    <w:p w:rsidR="007E28E5" w:rsidRDefault="007E28E5" w:rsidP="005A5B6C">
      <w:pPr>
        <w:pStyle w:val="a3"/>
        <w:numPr>
          <w:ilvl w:val="0"/>
          <w:numId w:val="1"/>
        </w:numPr>
      </w:pPr>
      <w:r>
        <w:t xml:space="preserve">Учётная политика как обоснование деления расходов на прямые и косвенные расходы, а также </w:t>
      </w:r>
      <w:r w:rsidR="0069693D">
        <w:t>применения принципа пропорционального признания расходов;</w:t>
      </w:r>
    </w:p>
    <w:p w:rsidR="007025CE" w:rsidRDefault="007025CE" w:rsidP="005A5B6C">
      <w:pPr>
        <w:pStyle w:val="a3"/>
        <w:numPr>
          <w:ilvl w:val="0"/>
          <w:numId w:val="1"/>
        </w:numPr>
      </w:pPr>
      <w:r>
        <w:t xml:space="preserve">Доказывание </w:t>
      </w:r>
      <w:r w:rsidR="00E84941">
        <w:t xml:space="preserve">экономической </w:t>
      </w:r>
      <w:r w:rsidR="007E28E5">
        <w:t xml:space="preserve">и технологической </w:t>
      </w:r>
      <w:r w:rsidR="00E84941">
        <w:t>обоснованности расходов;</w:t>
      </w:r>
    </w:p>
    <w:p w:rsidR="004B282C" w:rsidRPr="00CB592B" w:rsidRDefault="00E84941" w:rsidP="00E84941">
      <w:pPr>
        <w:pStyle w:val="a3"/>
        <w:numPr>
          <w:ilvl w:val="0"/>
          <w:numId w:val="1"/>
        </w:numPr>
      </w:pPr>
      <w:r>
        <w:t xml:space="preserve">Признание отдельных видов расходов: </w:t>
      </w:r>
      <w:r w:rsidR="0069693D">
        <w:t xml:space="preserve">списываемые объекты капитального строительства, бонусы, </w:t>
      </w:r>
      <w:r>
        <w:t>расходы на отдых сотрудников, расходы на повышение квалификации сотрудников</w:t>
      </w:r>
      <w:r w:rsidR="004B282C">
        <w:t>.</w:t>
      </w:r>
    </w:p>
    <w:p w:rsidR="005A5B6C" w:rsidRPr="00CB592B" w:rsidRDefault="005A5B6C" w:rsidP="005A5B6C"/>
    <w:p w:rsidR="002737B4" w:rsidRPr="00CB592B" w:rsidRDefault="002737B4"/>
    <w:p w:rsidR="002737B4" w:rsidRPr="00CB592B" w:rsidRDefault="002737B4" w:rsidP="002737B4">
      <w:pPr>
        <w:jc w:val="center"/>
        <w:rPr>
          <w:b/>
          <w:sz w:val="24"/>
          <w:szCs w:val="24"/>
        </w:rPr>
      </w:pPr>
      <w:r w:rsidRPr="00CB592B">
        <w:rPr>
          <w:b/>
          <w:sz w:val="24"/>
          <w:szCs w:val="24"/>
        </w:rPr>
        <w:t>Зарплатные налоги</w:t>
      </w:r>
    </w:p>
    <w:p w:rsidR="002737B4" w:rsidRPr="00CB592B" w:rsidRDefault="002737B4"/>
    <w:p w:rsidR="00E84941" w:rsidRDefault="00E84941" w:rsidP="00E84941">
      <w:pPr>
        <w:pStyle w:val="a3"/>
        <w:numPr>
          <w:ilvl w:val="0"/>
          <w:numId w:val="1"/>
        </w:numPr>
      </w:pPr>
      <w:r>
        <w:t xml:space="preserve">Фиксация </w:t>
      </w:r>
      <w:r w:rsidR="0069693D">
        <w:t xml:space="preserve">«основного» </w:t>
      </w:r>
      <w:r>
        <w:t xml:space="preserve">тарифа </w:t>
      </w:r>
      <w:r w:rsidR="0069693D">
        <w:t>и отмена льготных тарифа для плательщиков УСН;</w:t>
      </w:r>
    </w:p>
    <w:p w:rsidR="00E84941" w:rsidRDefault="00E84941" w:rsidP="00CB592B">
      <w:pPr>
        <w:pStyle w:val="a3"/>
        <w:numPr>
          <w:ilvl w:val="0"/>
          <w:numId w:val="1"/>
        </w:numPr>
      </w:pPr>
      <w:r>
        <w:t>Практика применения норм о</w:t>
      </w:r>
      <w:r w:rsidR="0069693D">
        <w:t xml:space="preserve"> повышенных </w:t>
      </w:r>
      <w:r>
        <w:t>тарифах страховых взносов;</w:t>
      </w:r>
    </w:p>
    <w:p w:rsidR="0069693D" w:rsidRDefault="00E84941" w:rsidP="0069693D">
      <w:pPr>
        <w:pStyle w:val="a3"/>
        <w:numPr>
          <w:ilvl w:val="0"/>
          <w:numId w:val="1"/>
        </w:numPr>
      </w:pPr>
      <w:r>
        <w:t>Изменения в правилах представления формы СЗВ-М</w:t>
      </w:r>
      <w:r w:rsidR="0069693D">
        <w:t>: практика Пенсионного Фонда России</w:t>
      </w:r>
      <w:r>
        <w:t>;</w:t>
      </w:r>
    </w:p>
    <w:p w:rsidR="00FC5CCA" w:rsidRPr="00CB592B" w:rsidRDefault="00E84941" w:rsidP="00CB592B">
      <w:pPr>
        <w:pStyle w:val="a3"/>
        <w:numPr>
          <w:ilvl w:val="0"/>
          <w:numId w:val="1"/>
        </w:numPr>
      </w:pPr>
      <w:r>
        <w:t xml:space="preserve">Практика применения НДФЛ: досрочное перечисление удержанного налоговым агентов налога, использование различных счетов </w:t>
      </w:r>
      <w:r w:rsidR="00BA3140">
        <w:t xml:space="preserve">ИП </w:t>
      </w:r>
      <w:r>
        <w:t>для осуществления расчётов</w:t>
      </w:r>
      <w:r w:rsidR="00BA3140">
        <w:t>, невозможность использования вычета по «предпринимательскому» имуществу</w:t>
      </w:r>
      <w:r w:rsidR="00FC5CCA">
        <w:t>.</w:t>
      </w:r>
    </w:p>
    <w:p w:rsidR="00CB592B" w:rsidRPr="00CB592B" w:rsidRDefault="00CB592B" w:rsidP="00CB592B"/>
    <w:p w:rsidR="00CB592B" w:rsidRPr="00CB592B" w:rsidRDefault="00CB592B" w:rsidP="00CB592B"/>
    <w:p w:rsidR="002737B4" w:rsidRPr="00CB592B" w:rsidRDefault="002737B4" w:rsidP="002737B4">
      <w:pPr>
        <w:jc w:val="center"/>
        <w:rPr>
          <w:b/>
          <w:sz w:val="24"/>
          <w:szCs w:val="24"/>
        </w:rPr>
      </w:pPr>
      <w:r w:rsidRPr="00CB592B">
        <w:rPr>
          <w:b/>
          <w:sz w:val="24"/>
          <w:szCs w:val="24"/>
        </w:rPr>
        <w:t>Имущественные налоги</w:t>
      </w:r>
    </w:p>
    <w:p w:rsidR="002737B4" w:rsidRPr="00CB592B" w:rsidRDefault="002737B4"/>
    <w:p w:rsidR="007025CE" w:rsidRDefault="00BA3140" w:rsidP="00D440E7">
      <w:pPr>
        <w:pStyle w:val="a3"/>
        <w:numPr>
          <w:ilvl w:val="0"/>
          <w:numId w:val="1"/>
        </w:numPr>
      </w:pPr>
      <w:r>
        <w:t>Вопросы о</w:t>
      </w:r>
      <w:r w:rsidR="007025CE">
        <w:t>тмен</w:t>
      </w:r>
      <w:r>
        <w:t>ы</w:t>
      </w:r>
      <w:r w:rsidR="007025CE">
        <w:t xml:space="preserve"> с 2019 года налога на имущество организаций в отношении движимого имущества</w:t>
      </w:r>
      <w:r>
        <w:t>: неотделимые улучшения арендованного имущества, коммуникации зданий, объекты в непригодном состоянии, фактическое использование недвижимости</w:t>
      </w:r>
      <w:r w:rsidR="007025CE">
        <w:t>;</w:t>
      </w:r>
    </w:p>
    <w:p w:rsidR="00BA3140" w:rsidRDefault="00E84941" w:rsidP="00BA3140">
      <w:pPr>
        <w:pStyle w:val="a3"/>
        <w:numPr>
          <w:ilvl w:val="0"/>
          <w:numId w:val="1"/>
        </w:numPr>
      </w:pPr>
      <w:r>
        <w:t xml:space="preserve">Исчисление налога на имущество в отношении ликвидированного объекта недвижимости, </w:t>
      </w:r>
      <w:r w:rsidR="00184325">
        <w:t>запись о котором в ЕГРН сохранена</w:t>
      </w:r>
      <w:r w:rsidR="00BA3140">
        <w:t>;</w:t>
      </w:r>
    </w:p>
    <w:p w:rsidR="00CB592B" w:rsidRDefault="00BA3140" w:rsidP="00BA3140">
      <w:pPr>
        <w:pStyle w:val="a3"/>
        <w:numPr>
          <w:ilvl w:val="0"/>
          <w:numId w:val="1"/>
        </w:numPr>
      </w:pPr>
      <w:r>
        <w:t>Правомерность использования налоговой льготы при приобретении имущества у взаимозависимых лиц.</w:t>
      </w:r>
    </w:p>
    <w:p w:rsidR="00BA3140" w:rsidRPr="00CB592B" w:rsidRDefault="00BA3140" w:rsidP="00BA3140">
      <w:pPr>
        <w:pStyle w:val="a3"/>
        <w:numPr>
          <w:ilvl w:val="0"/>
          <w:numId w:val="1"/>
        </w:numPr>
      </w:pPr>
      <w:r>
        <w:t>Отдельные вопросы исчисления и уплаты земельного и транспортного налога.</w:t>
      </w:r>
      <w:bookmarkStart w:id="0" w:name="_GoBack"/>
      <w:bookmarkEnd w:id="0"/>
    </w:p>
    <w:sectPr w:rsidR="00BA3140" w:rsidRPr="00CB592B" w:rsidSect="00F27C8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F6" w:rsidRDefault="008817F6" w:rsidP="008202FE">
      <w:r>
        <w:separator/>
      </w:r>
    </w:p>
  </w:endnote>
  <w:endnote w:type="continuationSeparator" w:id="0">
    <w:p w:rsidR="008817F6" w:rsidRDefault="008817F6" w:rsidP="0082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F6" w:rsidRDefault="008817F6" w:rsidP="008202FE">
      <w:r>
        <w:separator/>
      </w:r>
    </w:p>
  </w:footnote>
  <w:footnote w:type="continuationSeparator" w:id="0">
    <w:p w:rsidR="008817F6" w:rsidRDefault="008817F6" w:rsidP="0082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757509"/>
      <w:docPartObj>
        <w:docPartGallery w:val="Page Numbers (Top of Page)"/>
        <w:docPartUnique/>
      </w:docPartObj>
    </w:sdtPr>
    <w:sdtEndPr/>
    <w:sdtContent>
      <w:p w:rsidR="00BC0DFC" w:rsidRDefault="00BC0D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76D">
          <w:rPr>
            <w:noProof/>
          </w:rPr>
          <w:t>2</w:t>
        </w:r>
        <w:r>
          <w:fldChar w:fldCharType="end"/>
        </w:r>
      </w:p>
    </w:sdtContent>
  </w:sdt>
  <w:p w:rsidR="00BC0DFC" w:rsidRDefault="00BC0D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31A"/>
    <w:multiLevelType w:val="hybridMultilevel"/>
    <w:tmpl w:val="3CCA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2098"/>
    <w:multiLevelType w:val="hybridMultilevel"/>
    <w:tmpl w:val="8C3E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394D"/>
    <w:multiLevelType w:val="hybridMultilevel"/>
    <w:tmpl w:val="1CB8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4472"/>
    <w:multiLevelType w:val="hybridMultilevel"/>
    <w:tmpl w:val="0F34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4C"/>
    <w:rsid w:val="00014091"/>
    <w:rsid w:val="000E573F"/>
    <w:rsid w:val="000E58F5"/>
    <w:rsid w:val="00101A90"/>
    <w:rsid w:val="001137B0"/>
    <w:rsid w:val="00114117"/>
    <w:rsid w:val="00134D1C"/>
    <w:rsid w:val="0015276D"/>
    <w:rsid w:val="00184325"/>
    <w:rsid w:val="001B2160"/>
    <w:rsid w:val="001D5AC5"/>
    <w:rsid w:val="002545EB"/>
    <w:rsid w:val="00260031"/>
    <w:rsid w:val="00271A72"/>
    <w:rsid w:val="002737B4"/>
    <w:rsid w:val="002A4C64"/>
    <w:rsid w:val="002E770F"/>
    <w:rsid w:val="002F7519"/>
    <w:rsid w:val="003219A5"/>
    <w:rsid w:val="003448C8"/>
    <w:rsid w:val="00445B50"/>
    <w:rsid w:val="004B13AA"/>
    <w:rsid w:val="004B282C"/>
    <w:rsid w:val="005A5B6C"/>
    <w:rsid w:val="005F2C9B"/>
    <w:rsid w:val="00616A85"/>
    <w:rsid w:val="0069693D"/>
    <w:rsid w:val="007025CE"/>
    <w:rsid w:val="007412A3"/>
    <w:rsid w:val="00771026"/>
    <w:rsid w:val="007D0D77"/>
    <w:rsid w:val="007E28E5"/>
    <w:rsid w:val="007F04C3"/>
    <w:rsid w:val="00804628"/>
    <w:rsid w:val="008202FE"/>
    <w:rsid w:val="00880CFC"/>
    <w:rsid w:val="008817F6"/>
    <w:rsid w:val="008B43B2"/>
    <w:rsid w:val="009003B3"/>
    <w:rsid w:val="0095672B"/>
    <w:rsid w:val="009B7141"/>
    <w:rsid w:val="009C1991"/>
    <w:rsid w:val="00A2777D"/>
    <w:rsid w:val="00A7422A"/>
    <w:rsid w:val="00B555D4"/>
    <w:rsid w:val="00B83EBF"/>
    <w:rsid w:val="00BA2844"/>
    <w:rsid w:val="00BA3140"/>
    <w:rsid w:val="00BC0DFC"/>
    <w:rsid w:val="00C27FDD"/>
    <w:rsid w:val="00C8354C"/>
    <w:rsid w:val="00CB592B"/>
    <w:rsid w:val="00CC5DCE"/>
    <w:rsid w:val="00D04E30"/>
    <w:rsid w:val="00D36CAE"/>
    <w:rsid w:val="00D440E7"/>
    <w:rsid w:val="00DF6DCC"/>
    <w:rsid w:val="00E25343"/>
    <w:rsid w:val="00E67D57"/>
    <w:rsid w:val="00E83564"/>
    <w:rsid w:val="00E84941"/>
    <w:rsid w:val="00EC3D71"/>
    <w:rsid w:val="00F27C83"/>
    <w:rsid w:val="00F32D60"/>
    <w:rsid w:val="00FA2044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4993"/>
  <w15:chartTrackingRefBased/>
  <w15:docId w15:val="{C4350DD9-FC07-40C4-8BDF-C8CBC6B8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8C8"/>
    <w:pPr>
      <w:spacing w:after="0" w:line="240" w:lineRule="auto"/>
      <w:jc w:val="both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02FE"/>
    <w:rPr>
      <w:rFonts w:ascii="Courier New" w:hAnsi="Courier New"/>
    </w:rPr>
  </w:style>
  <w:style w:type="paragraph" w:styleId="a6">
    <w:name w:val="footer"/>
    <w:basedOn w:val="a"/>
    <w:link w:val="a7"/>
    <w:uiPriority w:val="99"/>
    <w:unhideWhenUsed/>
    <w:rsid w:val="00820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2F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87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FCF3AF-EAEB-43B7-9783-CA08B6F7AB8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Алексей Куликов</cp:lastModifiedBy>
  <cp:revision>31</cp:revision>
  <dcterms:created xsi:type="dcterms:W3CDTF">2017-08-04T12:22:00Z</dcterms:created>
  <dcterms:modified xsi:type="dcterms:W3CDTF">2018-10-18T13:27:00Z</dcterms:modified>
</cp:coreProperties>
</file>